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053" w:rsidRPr="000633BF" w:rsidRDefault="00A910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3BF">
        <w:rPr>
          <w:rFonts w:ascii="Times New Roman" w:hAnsi="Times New Roman" w:cs="Times New Roman"/>
          <w:b/>
          <w:sz w:val="28"/>
          <w:szCs w:val="28"/>
        </w:rPr>
        <w:t>PENGANTAR</w:t>
      </w:r>
    </w:p>
    <w:p w:rsidR="000633BF" w:rsidRDefault="000633BF" w:rsidP="002C05ED">
      <w:pPr>
        <w:rPr>
          <w:rFonts w:ascii="Times New Roman" w:hAnsi="Times New Roman" w:cs="Times New Roman"/>
          <w:b/>
          <w:sz w:val="24"/>
          <w:szCs w:val="24"/>
        </w:rPr>
      </w:pPr>
    </w:p>
    <w:p w:rsidR="0097406A" w:rsidRDefault="00A91027" w:rsidP="001E37FB">
      <w:pPr>
        <w:spacing w:beforeLines="50" w:before="120" w:after="0"/>
        <w:ind w:firstLineChars="458" w:firstLine="1099"/>
        <w:jc w:val="both"/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3BF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="00063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3B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063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Kota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Tanjungbalai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66A0E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0633BF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063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4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36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06A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="00974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06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97406A">
        <w:rPr>
          <w:rFonts w:ascii="Times New Roman" w:hAnsi="Times New Roman" w:cs="Times New Roman"/>
          <w:sz w:val="24"/>
          <w:szCs w:val="24"/>
        </w:rPr>
        <w:t xml:space="preserve"> R</w:t>
      </w:r>
      <w:r w:rsidR="00766A0E">
        <w:rPr>
          <w:rFonts w:ascii="Times New Roman" w:hAnsi="Times New Roman" w:cs="Times New Roman"/>
          <w:sz w:val="24"/>
          <w:szCs w:val="24"/>
        </w:rPr>
        <w:t xml:space="preserve">KPD Kota </w:t>
      </w:r>
      <w:proofErr w:type="spellStart"/>
      <w:r w:rsidR="00766A0E">
        <w:rPr>
          <w:rFonts w:ascii="Times New Roman" w:hAnsi="Times New Roman" w:cs="Times New Roman"/>
          <w:sz w:val="24"/>
          <w:szCs w:val="24"/>
        </w:rPr>
        <w:t>Tanjungbalai</w:t>
      </w:r>
      <w:proofErr w:type="spellEnd"/>
      <w:r w:rsidR="00766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A0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66A0E">
        <w:rPr>
          <w:rFonts w:ascii="Times New Roman" w:hAnsi="Times New Roman" w:cs="Times New Roman"/>
          <w:sz w:val="24"/>
          <w:szCs w:val="24"/>
        </w:rPr>
        <w:t xml:space="preserve"> 2026</w:t>
      </w:r>
      <w:r w:rsidR="00974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06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74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06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974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4B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="00D36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36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212/PMK.07/2022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Indikator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Tingkat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Kinerja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daerah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dan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ketentuan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umum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bagian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Dana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Alokasi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Umum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ditentukan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</w:t>
      </w:r>
      <w:r w:rsidR="005A1B10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enggunaannya</w:t>
      </w:r>
      <w:proofErr w:type="spellEnd"/>
      <w:r w:rsidR="005A1B10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5A1B10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Tahun</w:t>
      </w:r>
      <w:proofErr w:type="spellEnd"/>
      <w:r w:rsidR="005A1B10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5A1B10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anggaran</w:t>
      </w:r>
      <w:proofErr w:type="spellEnd"/>
      <w:r w:rsidR="005A1B10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2026</w:t>
      </w:r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Penyesuaian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pada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penyusunan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program</w:t>
      </w:r>
      <w:proofErr w:type="gram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,</w:t>
      </w:r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kegiatan</w:t>
      </w:r>
      <w:proofErr w:type="spellEnd"/>
      <w:proofErr w:type="gramEnd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dan</w:t>
      </w:r>
      <w:proofErr w:type="spellEnd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sub </w:t>
      </w:r>
      <w:proofErr w:type="spellStart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kegiatan</w:t>
      </w:r>
      <w:proofErr w:type="spellEnd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tel</w:t>
      </w:r>
      <w:r w:rsidR="007C5A3D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ah</w:t>
      </w:r>
      <w:proofErr w:type="spellEnd"/>
      <w:r w:rsidR="007C5A3D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7C5A3D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ditetapkan</w:t>
      </w:r>
      <w:proofErr w:type="spellEnd"/>
      <w:r w:rsidR="007C5A3D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7C5A3D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sebanyak</w:t>
      </w:r>
      <w:proofErr w:type="spellEnd"/>
      <w:r w:rsidR="007C5A3D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4 (</w:t>
      </w:r>
      <w:proofErr w:type="spellStart"/>
      <w:r w:rsidR="007C5A3D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empat</w:t>
      </w:r>
      <w:proofErr w:type="spellEnd"/>
      <w:r w:rsidR="007C5A3D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) </w:t>
      </w:r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program </w:t>
      </w:r>
      <w:proofErr w:type="spellStart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terkait</w:t>
      </w:r>
      <w:proofErr w:type="spellEnd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urusan</w:t>
      </w:r>
      <w:proofErr w:type="spellEnd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pendidikan</w:t>
      </w:r>
      <w:proofErr w:type="spellEnd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yaitu</w:t>
      </w:r>
      <w:proofErr w:type="spellEnd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: Pro</w:t>
      </w:r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gram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pengelolaan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pendidikan,Program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Pendidik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dan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Tenaga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K</w:t>
      </w:r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ependi</w:t>
      </w:r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dikan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serta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P</w:t>
      </w:r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rogram </w:t>
      </w:r>
      <w:proofErr w:type="spellStart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pendukung</w:t>
      </w:r>
      <w:proofErr w:type="spellEnd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terkait</w:t>
      </w:r>
      <w:proofErr w:type="spellEnd"/>
      <w:r w:rsidR="00097139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097139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urusan</w:t>
      </w:r>
      <w:proofErr w:type="spellEnd"/>
      <w:r w:rsidR="00097139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097139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kebudayaan</w:t>
      </w:r>
      <w:proofErr w:type="spellEnd"/>
      <w:r w:rsidR="00097139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097139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yakni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Program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Pengembangan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K</w:t>
      </w:r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ebudayaan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dan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Program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Pelestarian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dan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Pengelolaan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Cagar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Budaya</w:t>
      </w:r>
      <w:proofErr w:type="spellEnd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. </w:t>
      </w:r>
      <w:proofErr w:type="spellStart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Selain</w:t>
      </w:r>
      <w:proofErr w:type="spellEnd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tentunya</w:t>
      </w:r>
      <w:proofErr w:type="spellEnd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tetap</w:t>
      </w:r>
      <w:proofErr w:type="spellEnd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proofErr w:type="gramStart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didukung</w:t>
      </w:r>
      <w:proofErr w:type="spellEnd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 </w:t>
      </w:r>
      <w:proofErr w:type="spellStart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oleh</w:t>
      </w:r>
      <w:proofErr w:type="spellEnd"/>
      <w:proofErr w:type="gramEnd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Program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Penunjang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Urusan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</w:t>
      </w:r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emerintahan</w:t>
      </w:r>
      <w:proofErr w:type="spellEnd"/>
      <w:r w:rsidR="0097406A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.</w:t>
      </w:r>
    </w:p>
    <w:p w:rsidR="006E5D7B" w:rsidRDefault="0097406A" w:rsidP="0097406A">
      <w:pPr>
        <w:spacing w:beforeLines="50" w:before="120" w:after="0"/>
        <w:ind w:firstLineChars="458" w:firstLine="1099"/>
        <w:jc w:val="both"/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</w:pP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Penyusunan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R</w:t>
      </w:r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enja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Dinas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Pendidikan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Tahun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gram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2026</w:t>
      </w:r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bertujuan</w:t>
      </w:r>
      <w:proofErr w:type="spellEnd"/>
      <w:proofErr w:type="gram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mendukung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capaian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target-target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indikator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kinerja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utama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bidang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pendidikan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selain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juga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mendukung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pencapaian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peningkat</w:t>
      </w:r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an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nilai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rapor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pendidikan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Kota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Tanjungbalai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.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Rencana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k</w:t>
      </w:r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erja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Dinas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Pendidikan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tahun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2026</w:t>
      </w:r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telah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proofErr w:type="gram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mempertimbangan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hasil</w:t>
      </w:r>
      <w:proofErr w:type="spellEnd"/>
      <w:proofErr w:type="gram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evaluasi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kin</w:t>
      </w:r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erja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Dinas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Pendidikan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Tahun</w:t>
      </w:r>
      <w:proofErr w:type="spellEnd"/>
      <w:r w:rsidR="00677691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2024</w:t>
      </w:r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dan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isu-isu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berkembang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di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dunia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pendidikan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ke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depan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.</w:t>
      </w:r>
    </w:p>
    <w:p w:rsidR="006E5D7B" w:rsidRDefault="00677691" w:rsidP="0097406A">
      <w:pPr>
        <w:spacing w:beforeLines="50" w:before="120" w:after="0"/>
        <w:ind w:firstLineChars="458" w:firstLine="1099"/>
        <w:jc w:val="both"/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</w:pP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Fokus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Rencana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Kerja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Dinas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Pendidikan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Tahun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2026</w:t>
      </w:r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adalah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peningkatan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kompetensi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ten</w:t>
      </w:r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a</w:t>
      </w:r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ga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pendidik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dan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tenaga</w:t>
      </w:r>
      <w:proofErr w:type="spellEnd"/>
      <w:r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kependidkan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baik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pada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satuan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PAUD,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satuan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pendidikan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SD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dan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satuan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pendidikan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SMP.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Selain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itu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juga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difokuskan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pada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peningkatan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prestasi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,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minat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bakat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dan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kretaitivas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siswa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selain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peningkatan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kondisi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kuantitas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dan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kualitas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sarana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dan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prasarana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pada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satuan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pendidikan</w:t>
      </w:r>
      <w:proofErr w:type="spellEnd"/>
      <w:r w:rsidR="006E5D7B"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  <w:t>.</w:t>
      </w:r>
    </w:p>
    <w:p w:rsidR="003C5053" w:rsidRDefault="003C5053" w:rsidP="001E37FB">
      <w:pPr>
        <w:spacing w:beforeLines="50" w:before="120" w:after="0"/>
        <w:jc w:val="both"/>
        <w:rPr>
          <w:rFonts w:ascii="Times-Roman" w:eastAsia="Times-Roman" w:hAnsi="Times-Roman" w:cs="Times-Roman"/>
          <w:color w:val="000000"/>
          <w:sz w:val="24"/>
          <w:szCs w:val="24"/>
          <w:lang w:eastAsia="zh-CN" w:bidi="ar"/>
        </w:rPr>
      </w:pPr>
    </w:p>
    <w:p w:rsidR="003C5053" w:rsidRDefault="000C0559">
      <w:pPr>
        <w:spacing w:after="0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2B6">
        <w:rPr>
          <w:rFonts w:ascii="Times New Roman" w:hAnsi="Times New Roman" w:cs="Times New Roman"/>
          <w:sz w:val="24"/>
          <w:szCs w:val="24"/>
        </w:rPr>
        <w:t>Tanjungbalai</w:t>
      </w:r>
      <w:proofErr w:type="spellEnd"/>
      <w:r w:rsidR="005F72B6">
        <w:rPr>
          <w:rFonts w:ascii="Times New Roman" w:hAnsi="Times New Roman" w:cs="Times New Roman"/>
          <w:sz w:val="24"/>
          <w:szCs w:val="24"/>
        </w:rPr>
        <w:t xml:space="preserve">,                                  </w:t>
      </w:r>
      <w:r w:rsidR="00677691">
        <w:rPr>
          <w:rFonts w:ascii="Times New Roman" w:hAnsi="Times New Roman" w:cs="Times New Roman"/>
          <w:sz w:val="24"/>
          <w:szCs w:val="24"/>
        </w:rPr>
        <w:t>2025</w:t>
      </w:r>
    </w:p>
    <w:p w:rsidR="003C5053" w:rsidRDefault="003C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5D7B" w:rsidRDefault="00A91027" w:rsidP="006E5D7B">
      <w:pPr>
        <w:spacing w:after="0" w:line="240" w:lineRule="auto"/>
        <w:ind w:left="720" w:rightChars="-240" w:right="-528" w:firstLineChars="1125" w:firstLine="27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KEPALA </w:t>
      </w:r>
      <w:r w:rsidR="006E5D7B">
        <w:rPr>
          <w:rFonts w:ascii="Times New Roman" w:hAnsi="Times New Roman" w:cs="Times New Roman"/>
          <w:b/>
          <w:bCs/>
          <w:sz w:val="24"/>
          <w:szCs w:val="24"/>
        </w:rPr>
        <w:t>DINAS PENDIDIKAN</w:t>
      </w:r>
    </w:p>
    <w:p w:rsidR="000C0559" w:rsidRPr="000C0559" w:rsidRDefault="00A91027" w:rsidP="000C0559">
      <w:pPr>
        <w:spacing w:after="0" w:line="240" w:lineRule="auto"/>
        <w:ind w:left="720" w:rightChars="-240" w:right="-528" w:firstLineChars="1125" w:firstLine="27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KOTA TANJUNGBALAI</w:t>
      </w:r>
    </w:p>
    <w:p w:rsidR="003C5053" w:rsidRDefault="003C5053" w:rsidP="006E5D7B">
      <w:pPr>
        <w:spacing w:after="0"/>
        <w:ind w:left="3600" w:firstLineChars="1125" w:firstLine="271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5053" w:rsidRDefault="003C5053" w:rsidP="006E5D7B">
      <w:pPr>
        <w:spacing w:after="0"/>
        <w:ind w:left="3600" w:firstLineChars="1125" w:firstLine="271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0559" w:rsidRDefault="000C0559" w:rsidP="006E5D7B">
      <w:pPr>
        <w:spacing w:after="0"/>
        <w:ind w:left="3600" w:firstLineChars="1125" w:firstLine="271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139" w:rsidRPr="00097139" w:rsidRDefault="00097139" w:rsidP="000C055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C5053" w:rsidRPr="00C35166" w:rsidRDefault="000C0559" w:rsidP="006E5D7B">
      <w:pPr>
        <w:spacing w:after="0"/>
        <w:ind w:left="360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MARIANI,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S.Si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M.Si</w:t>
      </w:r>
      <w:proofErr w:type="spellEnd"/>
    </w:p>
    <w:p w:rsidR="000C0559" w:rsidRPr="00C35166" w:rsidRDefault="00A91027" w:rsidP="000C0559">
      <w:pPr>
        <w:spacing w:after="0"/>
        <w:ind w:left="360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351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PEMBINA</w:t>
      </w:r>
      <w:r w:rsidR="000C05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50A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TK.I</w:t>
      </w:r>
    </w:p>
    <w:p w:rsidR="003C5053" w:rsidRPr="00C70D9C" w:rsidRDefault="00956479" w:rsidP="00C70D9C">
      <w:pPr>
        <w:spacing w:after="0"/>
        <w:ind w:left="360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bookmarkStart w:id="0" w:name="_GoBack"/>
      <w:bookmarkEnd w:id="0"/>
      <w:r w:rsidR="000C05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NIP. 19740617 200003 2 003</w:t>
      </w:r>
    </w:p>
    <w:sectPr w:rsidR="003C5053" w:rsidRPr="00C70D9C">
      <w:footerReference w:type="default" r:id="rId6"/>
      <w:pgSz w:w="12240" w:h="15840"/>
      <w:pgMar w:top="1701" w:right="1701" w:bottom="1701" w:left="2268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FE3" w:rsidRDefault="00AD6FE3">
      <w:pPr>
        <w:spacing w:line="240" w:lineRule="auto"/>
      </w:pPr>
      <w:r>
        <w:separator/>
      </w:r>
    </w:p>
  </w:endnote>
  <w:endnote w:type="continuationSeparator" w:id="0">
    <w:p w:rsidR="00AD6FE3" w:rsidRDefault="00AD6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2B6" w:rsidRDefault="005F72B6">
    <w:pPr>
      <w:pStyle w:val="Footer"/>
    </w:pPr>
    <w:r>
      <w:tab/>
      <w:t xml:space="preserve">                                                                                                                            </w:t>
    </w:r>
    <w:proofErr w:type="spellStart"/>
    <w:proofErr w:type="gramStart"/>
    <w:r>
      <w:t>i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FE3" w:rsidRDefault="00AD6FE3">
      <w:pPr>
        <w:spacing w:after="0"/>
      </w:pPr>
      <w:r>
        <w:separator/>
      </w:r>
    </w:p>
  </w:footnote>
  <w:footnote w:type="continuationSeparator" w:id="0">
    <w:p w:rsidR="00AD6FE3" w:rsidRDefault="00AD6F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2A"/>
    <w:rsid w:val="0000188F"/>
    <w:rsid w:val="000633BF"/>
    <w:rsid w:val="00066CF1"/>
    <w:rsid w:val="0007107C"/>
    <w:rsid w:val="00095242"/>
    <w:rsid w:val="00097139"/>
    <w:rsid w:val="000C0559"/>
    <w:rsid w:val="000C654C"/>
    <w:rsid w:val="00140F08"/>
    <w:rsid w:val="0014627C"/>
    <w:rsid w:val="001807EF"/>
    <w:rsid w:val="001A0C40"/>
    <w:rsid w:val="001B6214"/>
    <w:rsid w:val="001E37FB"/>
    <w:rsid w:val="001F3F8F"/>
    <w:rsid w:val="00262E48"/>
    <w:rsid w:val="00293BEB"/>
    <w:rsid w:val="002C05ED"/>
    <w:rsid w:val="002D587F"/>
    <w:rsid w:val="002F1716"/>
    <w:rsid w:val="003C5053"/>
    <w:rsid w:val="003D7747"/>
    <w:rsid w:val="00440C07"/>
    <w:rsid w:val="00595C3F"/>
    <w:rsid w:val="005A1B10"/>
    <w:rsid w:val="005A53A3"/>
    <w:rsid w:val="005D2F92"/>
    <w:rsid w:val="005F72B6"/>
    <w:rsid w:val="00625E6B"/>
    <w:rsid w:val="00653261"/>
    <w:rsid w:val="0065682A"/>
    <w:rsid w:val="00672C4B"/>
    <w:rsid w:val="00677691"/>
    <w:rsid w:val="006E5D7B"/>
    <w:rsid w:val="00736E50"/>
    <w:rsid w:val="00766A0E"/>
    <w:rsid w:val="007C0512"/>
    <w:rsid w:val="007C5A3D"/>
    <w:rsid w:val="007D6B64"/>
    <w:rsid w:val="00815B02"/>
    <w:rsid w:val="00850A4F"/>
    <w:rsid w:val="00914FA0"/>
    <w:rsid w:val="00956479"/>
    <w:rsid w:val="0097406A"/>
    <w:rsid w:val="00990A03"/>
    <w:rsid w:val="009D3B34"/>
    <w:rsid w:val="00A91027"/>
    <w:rsid w:val="00AA24C7"/>
    <w:rsid w:val="00AC311D"/>
    <w:rsid w:val="00AD3812"/>
    <w:rsid w:val="00AD6FE3"/>
    <w:rsid w:val="00B4249F"/>
    <w:rsid w:val="00B61597"/>
    <w:rsid w:val="00BB2B1B"/>
    <w:rsid w:val="00C35166"/>
    <w:rsid w:val="00C4748B"/>
    <w:rsid w:val="00C70D9C"/>
    <w:rsid w:val="00CA300D"/>
    <w:rsid w:val="00CA62A8"/>
    <w:rsid w:val="00CE13CE"/>
    <w:rsid w:val="00D03C68"/>
    <w:rsid w:val="00D3664B"/>
    <w:rsid w:val="00E2121E"/>
    <w:rsid w:val="00E47FEB"/>
    <w:rsid w:val="00F95458"/>
    <w:rsid w:val="14E500DD"/>
    <w:rsid w:val="2E996E74"/>
    <w:rsid w:val="3EF276AD"/>
    <w:rsid w:val="60DF68B6"/>
    <w:rsid w:val="6723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59C40-322A-4B34-902D-C3D96CDE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559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0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559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5ED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acer</cp:lastModifiedBy>
  <cp:revision>18</cp:revision>
  <cp:lastPrinted>2025-06-12T05:21:00Z</cp:lastPrinted>
  <dcterms:created xsi:type="dcterms:W3CDTF">2024-05-26T17:13:00Z</dcterms:created>
  <dcterms:modified xsi:type="dcterms:W3CDTF">2025-12-09T10:07:00Z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979B86B012EB4B4C82C0F741E6BF169E_12</vt:lpwstr>
  </property>
</Properties>
</file>